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7F9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128D">
        <w:rPr>
          <w:rFonts w:ascii="Times New Roman" w:hAnsi="Times New Roman" w:cs="Times New Roman"/>
          <w:b/>
          <w:sz w:val="36"/>
          <w:szCs w:val="36"/>
        </w:rPr>
        <w:t>KAHM UNITY WOMEN’S COLLEGE, MANJERI</w:t>
      </w:r>
    </w:p>
    <w:p w14:paraId="3F80ED59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128D">
        <w:rPr>
          <w:rFonts w:ascii="Times New Roman" w:hAnsi="Times New Roman" w:cs="Times New Roman"/>
          <w:b/>
          <w:sz w:val="36"/>
          <w:szCs w:val="36"/>
        </w:rPr>
        <w:t>DEPARTMENT OF CHEMISTRY</w:t>
      </w:r>
    </w:p>
    <w:p w14:paraId="501E4CC4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3E873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14:paraId="3AA9572C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D821332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A128D">
        <w:rPr>
          <w:rFonts w:ascii="Times New Roman" w:eastAsia="Times New Roman" w:hAnsi="Times New Roman" w:cs="Times New Roman"/>
          <w:b/>
          <w:bCs/>
          <w:sz w:val="44"/>
          <w:szCs w:val="44"/>
          <w:lang w:eastAsia="en-IN"/>
        </w:rPr>
        <w:t xml:space="preserve">Certificate course in </w:t>
      </w:r>
      <w:r w:rsidRPr="00FA128D">
        <w:rPr>
          <w:rFonts w:ascii="Times New Roman" w:hAnsi="Times New Roman" w:cs="Times New Roman"/>
          <w:b/>
          <w:bCs/>
          <w:sz w:val="44"/>
          <w:szCs w:val="44"/>
        </w:rPr>
        <w:t xml:space="preserve">Molecular Visualization </w:t>
      </w:r>
      <w:proofErr w:type="spellStart"/>
      <w:r w:rsidRPr="00FA128D">
        <w:rPr>
          <w:rFonts w:ascii="Times New Roman" w:hAnsi="Times New Roman" w:cs="Times New Roman"/>
          <w:b/>
          <w:bCs/>
          <w:sz w:val="44"/>
          <w:szCs w:val="44"/>
        </w:rPr>
        <w:t>Softwares</w:t>
      </w:r>
      <w:proofErr w:type="spellEnd"/>
    </w:p>
    <w:p w14:paraId="52272155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368E40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28D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FA128D">
        <w:rPr>
          <w:rFonts w:ascii="Times New Roman" w:hAnsi="Times New Roman" w:cs="Times New Roman"/>
          <w:b/>
          <w:sz w:val="44"/>
          <w:szCs w:val="44"/>
        </w:rPr>
        <w:t>Programme</w:t>
      </w:r>
      <w:proofErr w:type="spellEnd"/>
      <w:r w:rsidRPr="00FA128D">
        <w:rPr>
          <w:rFonts w:ascii="Times New Roman" w:hAnsi="Times New Roman" w:cs="Times New Roman"/>
          <w:b/>
          <w:sz w:val="44"/>
          <w:szCs w:val="44"/>
        </w:rPr>
        <w:t xml:space="preserve"> Code: CHE05CC10)</w:t>
      </w:r>
    </w:p>
    <w:p w14:paraId="41FBF4F5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12E52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AFF65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5374860E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47A20D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eastAsia="Adobe Fan Heiti Std B" w:hAnsi="Times New Roman" w:cs="Times New Roman"/>
          <w:bCs/>
          <w:sz w:val="28"/>
          <w:szCs w:val="28"/>
        </w:rPr>
      </w:pPr>
      <w:r w:rsidRPr="00FA12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FA128D">
        <w:rPr>
          <w:rFonts w:ascii="Times New Roman" w:eastAsia="Adobe Fan Heiti Std B" w:hAnsi="Times New Roman" w:cs="Times New Roman"/>
          <w:bCs/>
          <w:sz w:val="28"/>
          <w:szCs w:val="28"/>
        </w:rPr>
        <w:t>For</w:t>
      </w:r>
    </w:p>
    <w:p w14:paraId="2F2093D5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eastAsia="Adobe Fan Heiti Std B" w:hAnsi="Times New Roman" w:cs="Times New Roman"/>
          <w:bCs/>
          <w:sz w:val="28"/>
          <w:szCs w:val="28"/>
          <w:u w:val="single"/>
        </w:rPr>
      </w:pPr>
    </w:p>
    <w:p w14:paraId="0FD41452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  <w:r w:rsidRPr="00FA128D"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  <w:t>UG &amp; PG Students</w:t>
      </w:r>
    </w:p>
    <w:p w14:paraId="561C3B45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41AA9B9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5DEDE803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0AEA91B6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63E4A5B1" w14:textId="77777777" w:rsidR="00FA128D" w:rsidRPr="00FA128D" w:rsidRDefault="00FA128D" w:rsidP="00FA128D">
      <w:pPr>
        <w:spacing w:after="0" w:line="360" w:lineRule="auto"/>
        <w:ind w:left="2160" w:firstLine="720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8D">
        <w:rPr>
          <w:rFonts w:ascii="Times New Roman" w:eastAsia="Times New Roman" w:hAnsi="Times New Roman" w:cs="Times New Roman"/>
          <w:b/>
          <w:sz w:val="28"/>
          <w:szCs w:val="28"/>
        </w:rPr>
        <w:t xml:space="preserve">Duration of course: 3 Months </w:t>
      </w:r>
    </w:p>
    <w:p w14:paraId="55B56871" w14:textId="77777777" w:rsidR="00FA128D" w:rsidRPr="00FA128D" w:rsidRDefault="00FA128D" w:rsidP="00FA128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8D">
        <w:rPr>
          <w:rFonts w:ascii="Times New Roman" w:eastAsia="Times New Roman" w:hAnsi="Times New Roman" w:cs="Times New Roman"/>
          <w:b/>
          <w:sz w:val="28"/>
          <w:szCs w:val="28"/>
        </w:rPr>
        <w:t xml:space="preserve"> Total hours: 30 Hours</w:t>
      </w:r>
    </w:p>
    <w:p w14:paraId="2B749B88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</w:p>
    <w:p w14:paraId="337F7A23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</w:p>
    <w:p w14:paraId="3C7D605D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</w:p>
    <w:p w14:paraId="30E6ACD9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</w:p>
    <w:p w14:paraId="1C81CB3D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</w:p>
    <w:p w14:paraId="3A5EA4CC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A128D">
        <w:rPr>
          <w:rFonts w:ascii="Times New Roman" w:eastAsia="Adobe Fan Heiti Std B" w:hAnsi="Times New Roman" w:cs="Times New Roman"/>
          <w:b/>
          <w:sz w:val="28"/>
          <w:szCs w:val="28"/>
        </w:rPr>
        <w:t>SYLLABUS</w:t>
      </w:r>
    </w:p>
    <w:p w14:paraId="5BE50471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A12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Module 1</w:t>
      </w:r>
    </w:p>
    <w:p w14:paraId="7BE85730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ACD </w:t>
      </w:r>
      <w:proofErr w:type="spellStart"/>
      <w:proofErr w:type="gramStart"/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>ChemSketch</w:t>
      </w:r>
      <w:proofErr w:type="spellEnd"/>
      <w:r w:rsidRPr="00FA128D">
        <w:rPr>
          <w:rFonts w:ascii="Times New Roman" w:hAnsi="Times New Roman" w:cs="Times New Roman"/>
          <w:sz w:val="24"/>
          <w:szCs w:val="24"/>
          <w:lang w:val="en-IN"/>
        </w:rPr>
        <w:t>:-</w:t>
      </w:r>
      <w:proofErr w:type="gramEnd"/>
      <w:r w:rsidRPr="00FA128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Introduction, download and installation process, </w:t>
      </w:r>
      <w:bookmarkStart w:id="0" w:name="_Hlk90240931"/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>Drawing various simple and complex chemical structures, conversion of name of molecule into its structure and vice versa</w:t>
      </w:r>
      <w:bookmarkEnd w:id="0"/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>, calculation of physical properties such as molecular weight, molecular formula, density, refractive index from structural formula, bond angles, bond lengths, dihedral angles.</w:t>
      </w:r>
    </w:p>
    <w:p w14:paraId="1B65BB1C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2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Module 2</w:t>
      </w:r>
    </w:p>
    <w:p w14:paraId="28C7DF97" w14:textId="77777777" w:rsidR="00FA128D" w:rsidRPr="00467407" w:rsidRDefault="00FA128D" w:rsidP="0046740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>Avogadro:-</w:t>
      </w:r>
      <w:proofErr w:type="gramEnd"/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Introduction, download and installation process, Drawing various simple and complex chemical structures, </w:t>
      </w:r>
      <w:r w:rsidRPr="00FA128D">
        <w:rPr>
          <w:rFonts w:ascii="Times New Roman" w:hAnsi="Times New Roman" w:cs="Times New Roman"/>
          <w:sz w:val="24"/>
          <w:szCs w:val="24"/>
        </w:rPr>
        <w:t xml:space="preserve">Sketch the molecule using </w:t>
      </w:r>
      <w:proofErr w:type="spellStart"/>
      <w:r w:rsidRPr="00FA128D">
        <w:rPr>
          <w:rFonts w:ascii="Times New Roman" w:hAnsi="Times New Roman" w:cs="Times New Roman"/>
          <w:sz w:val="24"/>
          <w:szCs w:val="24"/>
        </w:rPr>
        <w:t>avogadro</w:t>
      </w:r>
      <w:proofErr w:type="spellEnd"/>
      <w:r w:rsidRPr="00FA128D">
        <w:rPr>
          <w:rFonts w:ascii="Times New Roman" w:hAnsi="Times New Roman" w:cs="Times New Roman"/>
          <w:sz w:val="24"/>
          <w:szCs w:val="24"/>
        </w:rPr>
        <w:t xml:space="preserve"> and get the coordinates of the molecule, Single point energy calculation, </w:t>
      </w:r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>Geometry optimization, Fundamental vibrational frequency analysis of different molecules, Conformational analysis of ethane and butane</w:t>
      </w:r>
    </w:p>
    <w:p w14:paraId="16D96319" w14:textId="77777777" w:rsidR="00FA128D" w:rsidRPr="00FA128D" w:rsidRDefault="00FA128D" w:rsidP="00FA1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>Module 3</w:t>
      </w:r>
    </w:p>
    <w:p w14:paraId="2CBB7540" w14:textId="77777777" w:rsidR="00FA128D" w:rsidRDefault="00F623EA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F623EA">
        <w:rPr>
          <w:rFonts w:ascii="Times New Roman" w:hAnsi="Times New Roman" w:cs="Times New Roman"/>
          <w:b/>
          <w:bCs/>
          <w:sz w:val="24"/>
          <w:szCs w:val="24"/>
        </w:rPr>
        <w:t>PyMOL</w:t>
      </w:r>
      <w:proofErr w:type="spellEnd"/>
      <w:r w:rsidR="00FA128D"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>:-</w:t>
      </w:r>
      <w:proofErr w:type="gramEnd"/>
      <w:r w:rsidR="00FA128D"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A128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:- </w:t>
      </w:r>
      <w:r w:rsidRPr="00FA128D">
        <w:rPr>
          <w:rFonts w:ascii="Times New Roman" w:eastAsia="Times New Roman" w:hAnsi="Times New Roman" w:cs="Times New Roman"/>
          <w:sz w:val="24"/>
          <w:szCs w:val="24"/>
          <w:lang w:eastAsia="en-IN"/>
        </w:rPr>
        <w:t>Introduction, download and installation process,</w:t>
      </w:r>
      <w:r w:rsidR="007E453A" w:rsidRPr="007E453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53A">
        <w:rPr>
          <w:rFonts w:ascii="Arial" w:hAnsi="Arial" w:cs="Arial"/>
          <w:color w:val="000000"/>
          <w:shd w:val="clear" w:color="auto" w:fill="FFFFFF"/>
        </w:rPr>
        <w:t>visualization of different kinds of molecules such as proteins, compounds, or molecules.</w:t>
      </w:r>
      <w:r w:rsidR="007E453A" w:rsidRPr="007E453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53A">
        <w:rPr>
          <w:rFonts w:ascii="Arial" w:hAnsi="Arial" w:cs="Arial"/>
          <w:color w:val="000000"/>
          <w:shd w:val="clear" w:color="auto" w:fill="FFFFFF"/>
        </w:rPr>
        <w:t>export files into different formats.</w:t>
      </w:r>
      <w:r w:rsidR="007E453A" w:rsidRPr="007E453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53A">
        <w:rPr>
          <w:rFonts w:ascii="Arial" w:hAnsi="Arial" w:cs="Arial"/>
          <w:color w:val="000000"/>
          <w:shd w:val="clear" w:color="auto" w:fill="FFFFFF"/>
        </w:rPr>
        <w:t>Perform various operations on structures such as removing atoms or residues, changing colors, labeling residues, and so on.</w:t>
      </w:r>
    </w:p>
    <w:p w14:paraId="2E8DD073" w14:textId="77777777" w:rsidR="00DC3E17" w:rsidRDefault="00DC3E17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1828819" w14:textId="77777777" w:rsidR="00467407" w:rsidRDefault="00467407" w:rsidP="00FA12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7ABE306" w14:textId="77777777" w:rsidR="00DC3E17" w:rsidRPr="00DC3E17" w:rsidRDefault="00DC3E17" w:rsidP="00DC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E17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8314301" w14:textId="77777777" w:rsidR="00467407" w:rsidRDefault="00467407" w:rsidP="00467407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K. I. Ramachandran, G Deepa and K </w:t>
      </w:r>
      <w:proofErr w:type="spellStart"/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Namboori</w:t>
      </w:r>
      <w:proofErr w:type="spellEnd"/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“Computational Chemistry and Molecular </w:t>
      </w:r>
      <w:proofErr w:type="spellStart"/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Modeling</w:t>
      </w:r>
      <w:proofErr w:type="spellEnd"/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– Principles and Applications”, Springer-Verlag, Berlin, Heidelberg, 2008, ISBN-13 978-3-540-77302-3.</w:t>
      </w:r>
    </w:p>
    <w:p w14:paraId="14E477CD" w14:textId="77777777" w:rsidR="00467407" w:rsidRDefault="00467407" w:rsidP="00467407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794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Donald W Rogers, “Computational Chemistry Using PC”, Wiley, (2003).</w:t>
      </w:r>
    </w:p>
    <w:p w14:paraId="1BD49F75" w14:textId="77777777" w:rsidR="00467407" w:rsidRPr="00B323E6" w:rsidRDefault="00467407" w:rsidP="00467407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323E6">
        <w:rPr>
          <w:sz w:val="24"/>
          <w:szCs w:val="24"/>
          <w:shd w:val="clear" w:color="auto" w:fill="FFFFFF"/>
        </w:rPr>
        <w:t>Taylor Cornell and Geoffrey Hutchison, “</w:t>
      </w:r>
      <w:r w:rsidRPr="00B323E6">
        <w:rPr>
          <w:sz w:val="24"/>
          <w:szCs w:val="24"/>
        </w:rPr>
        <w:t>Avogadro: Molecular Editor and Visualization</w:t>
      </w:r>
    </w:p>
    <w:p w14:paraId="46F616E2" w14:textId="77777777" w:rsidR="00467407" w:rsidRPr="00126F4C" w:rsidRDefault="00467407" w:rsidP="00467407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>
        <w:t>Baraa</w:t>
      </w:r>
      <w:proofErr w:type="spellEnd"/>
      <w:r>
        <w:t xml:space="preserve"> Rayan and Anwar Rayan, “Avogadro Program for Chemistry Education: To What Extent </w:t>
      </w:r>
      <w:proofErr w:type="gramStart"/>
      <w:r>
        <w:t>can</w:t>
      </w:r>
      <w:proofErr w:type="gramEnd"/>
      <w:r>
        <w:t xml:space="preserve"> Molecular Visualization and Three-dimensional Simulations Enhance Meaningful Chemistry Learning?</w:t>
      </w:r>
    </w:p>
    <w:p w14:paraId="69D8AB99" w14:textId="77777777" w:rsidR="00B323E6" w:rsidRPr="0016794D" w:rsidRDefault="00B323E6" w:rsidP="00B323E6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t>Arvin Moser, “ACD/</w:t>
      </w:r>
      <w:proofErr w:type="spellStart"/>
      <w:r>
        <w:t>ChemSketch</w:t>
      </w:r>
      <w:proofErr w:type="spellEnd"/>
      <w:r>
        <w:t xml:space="preserve"> Quick Start Guide”, </w:t>
      </w:r>
      <w:r w:rsidRPr="00E30519">
        <w:t>http://www.acdlabs.com/chemsketch/</w:t>
      </w:r>
    </w:p>
    <w:p w14:paraId="383C0212" w14:textId="77777777" w:rsidR="00B323E6" w:rsidRDefault="00B323E6" w:rsidP="00B323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Jamal </w:t>
      </w:r>
      <w:proofErr w:type="spellStart"/>
      <w:r w:rsidRPr="00536A40">
        <w:rPr>
          <w:rFonts w:ascii="Times New Roman" w:hAnsi="Times New Roman" w:cs="Times New Roman"/>
          <w:sz w:val="24"/>
          <w:szCs w:val="24"/>
          <w:shd w:val="clear" w:color="auto" w:fill="FFFFFF"/>
        </w:rPr>
        <w:t>Raiyn</w:t>
      </w:r>
      <w:proofErr w:type="spellEnd"/>
      <w:r w:rsidRPr="00536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Anwar Rayan, “How Chemicals’ Drawing and Modeling Improve Chemistry Teaching in Colleges of Education”, </w:t>
      </w:r>
      <w:r w:rsidRPr="00536A40">
        <w:rPr>
          <w:rFonts w:ascii="Times New Roman" w:hAnsi="Times New Roman" w:cs="Times New Roman"/>
          <w:sz w:val="24"/>
          <w:szCs w:val="24"/>
        </w:rPr>
        <w:t>World Journal of Chemical Education, 2015, Vol. 3, No. 1, 1-4</w:t>
      </w:r>
    </w:p>
    <w:p w14:paraId="71283F2F" w14:textId="77777777" w:rsidR="002308F6" w:rsidRPr="00B323E6" w:rsidRDefault="00B323E6" w:rsidP="00467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E6">
        <w:rPr>
          <w:rFonts w:ascii="Arial" w:hAnsi="Arial" w:cs="Arial"/>
          <w:color w:val="222222"/>
          <w:sz w:val="20"/>
          <w:szCs w:val="20"/>
          <w:shd w:val="clear" w:color="auto" w:fill="FFFFFF"/>
        </w:rPr>
        <w:t>DeLano, Warren L. "</w:t>
      </w:r>
      <w:proofErr w:type="spellStart"/>
      <w:r w:rsidRPr="00B323E6">
        <w:rPr>
          <w:rFonts w:ascii="Arial" w:hAnsi="Arial" w:cs="Arial"/>
          <w:color w:val="222222"/>
          <w:sz w:val="20"/>
          <w:szCs w:val="20"/>
          <w:shd w:val="clear" w:color="auto" w:fill="FFFFFF"/>
        </w:rPr>
        <w:t>Pymol</w:t>
      </w:r>
      <w:proofErr w:type="spellEnd"/>
      <w:r w:rsidRPr="00B323E6">
        <w:rPr>
          <w:rFonts w:ascii="Arial" w:hAnsi="Arial" w:cs="Arial"/>
          <w:color w:val="222222"/>
          <w:sz w:val="20"/>
          <w:szCs w:val="20"/>
          <w:shd w:val="clear" w:color="auto" w:fill="FFFFFF"/>
        </w:rPr>
        <w:t>: An open-source molecular graphics tool." </w:t>
      </w:r>
      <w:r w:rsidRPr="00B323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CCP4 </w:t>
      </w:r>
      <w:proofErr w:type="spellStart"/>
      <w:r w:rsidRPr="00B323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Newsl</w:t>
      </w:r>
      <w:proofErr w:type="spellEnd"/>
      <w:r w:rsidRPr="00B323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. Protein </w:t>
      </w:r>
      <w:proofErr w:type="spellStart"/>
      <w:r w:rsidRPr="00B323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Crystallogr</w:t>
      </w:r>
      <w:proofErr w:type="spellEnd"/>
      <w:r w:rsidRPr="00B323E6">
        <w:rPr>
          <w:rFonts w:ascii="Arial" w:hAnsi="Arial" w:cs="Arial"/>
          <w:color w:val="222222"/>
          <w:sz w:val="20"/>
          <w:szCs w:val="20"/>
          <w:shd w:val="clear" w:color="auto" w:fill="FFFFFF"/>
        </w:rPr>
        <w:t> 40.1 (2002): 82-92.</w:t>
      </w:r>
    </w:p>
    <w:p w14:paraId="300CD554" w14:textId="77777777" w:rsidR="00B323E6" w:rsidRPr="00B323E6" w:rsidRDefault="00B323E6" w:rsidP="00467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DeLano, W. L., &amp; Bromberg, S. (2004).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PyMOL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user’s guide.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DeLano Scientific LLC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629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760B6AD" w14:textId="77777777" w:rsidR="00B323E6" w:rsidRPr="00DC3E17" w:rsidRDefault="00B323E6" w:rsidP="00467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Seeliger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Daniel, and Bert L. de Groot. "Ligand docking and binding site analysis with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PyMOL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Autodock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/Vina."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computer-aided molecular design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24.5 (2010): 417-422.</w:t>
      </w:r>
    </w:p>
    <w:p w14:paraId="544D0FC5" w14:textId="77777777" w:rsidR="00DC3E17" w:rsidRPr="00B323E6" w:rsidRDefault="00DC3E17" w:rsidP="00467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Gierut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Aleksandra M., et al. "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PyLink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PyMOL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plugin to identify links."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Bioinformatics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35.17 (2019): 3166-3168.</w:t>
      </w:r>
    </w:p>
    <w:sectPr w:rsidR="00DC3E17" w:rsidRPr="00B3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1C9"/>
    <w:multiLevelType w:val="hybridMultilevel"/>
    <w:tmpl w:val="827AE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8D"/>
    <w:rsid w:val="002308F6"/>
    <w:rsid w:val="003E75E4"/>
    <w:rsid w:val="00467407"/>
    <w:rsid w:val="007E453A"/>
    <w:rsid w:val="009E0904"/>
    <w:rsid w:val="00B323E6"/>
    <w:rsid w:val="00DC3E17"/>
    <w:rsid w:val="00F623EA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A1F0"/>
  <w15:chartTrackingRefBased/>
  <w15:docId w15:val="{872747FD-DAA1-41A7-98C5-F15697E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28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shamsheera k o</dc:creator>
  <cp:keywords/>
  <dc:description/>
  <cp:lastModifiedBy>shamsheera k o</cp:lastModifiedBy>
  <cp:revision>2</cp:revision>
  <dcterms:created xsi:type="dcterms:W3CDTF">2023-07-03T18:38:00Z</dcterms:created>
  <dcterms:modified xsi:type="dcterms:W3CDTF">2023-07-03T18:38:00Z</dcterms:modified>
</cp:coreProperties>
</file>